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1F975" w14:textId="77777777" w:rsidR="00D13254" w:rsidRDefault="00000000">
      <w:pPr>
        <w:spacing w:after="20"/>
        <w:jc w:val="center"/>
      </w:pPr>
      <w:r>
        <w:rPr>
          <w:rFonts w:ascii="Georgia" w:eastAsia="Georgia" w:hAnsi="Georgia" w:cs="Georgia"/>
          <w:b/>
          <w:bCs/>
          <w:color w:val="1B2A4A"/>
          <w:sz w:val="40"/>
          <w:szCs w:val="40"/>
        </w:rPr>
        <w:t>Christic Integrative Therapy (CIT)™</w:t>
      </w:r>
    </w:p>
    <w:p w14:paraId="545BCE93" w14:textId="04206678" w:rsidR="00D13254" w:rsidRDefault="00000000">
      <w:pPr>
        <w:spacing w:after="200"/>
        <w:jc w:val="center"/>
      </w:pPr>
      <w:r>
        <w:rPr>
          <w:rFonts w:ascii="Georgia" w:eastAsia="Georgia" w:hAnsi="Georgia" w:cs="Georgia"/>
          <w:i/>
          <w:iCs/>
          <w:color w:val="1B2A4A"/>
          <w:sz w:val="24"/>
          <w:szCs w:val="24"/>
        </w:rPr>
        <w:t xml:space="preserve">A Scripture-Integrated, </w:t>
      </w:r>
      <w:r w:rsidR="00B55B78">
        <w:rPr>
          <w:rFonts w:ascii="Georgia" w:eastAsia="Georgia" w:hAnsi="Georgia" w:cs="Georgia"/>
          <w:i/>
          <w:iCs/>
          <w:color w:val="1B2A4A"/>
          <w:sz w:val="24"/>
          <w:szCs w:val="24"/>
        </w:rPr>
        <w:t xml:space="preserve">Psychology and </w:t>
      </w:r>
      <w:r>
        <w:rPr>
          <w:rFonts w:ascii="Georgia" w:eastAsia="Georgia" w:hAnsi="Georgia" w:cs="Georgia"/>
          <w:i/>
          <w:iCs/>
          <w:color w:val="1B2A4A"/>
          <w:sz w:val="24"/>
          <w:szCs w:val="24"/>
        </w:rPr>
        <w:t>Neuroscience-Informed Clinical Workbook</w:t>
      </w:r>
    </w:p>
    <w:p w14:paraId="6110CBC5" w14:textId="48AA8DA8" w:rsidR="00D13254" w:rsidRPr="00AB2EF2" w:rsidRDefault="00000000">
      <w:pPr>
        <w:spacing w:after="160" w:line="258" w:lineRule="auto"/>
        <w:jc w:val="center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i/>
          <w:iCs/>
        </w:rPr>
        <w:t>A ready-to-teach, fully sequenced textbook and clinical training manual for programs preparing counselors, psychologists, and pastoral caregivers to work with Christian clients — built from a single, unified theoretical model rather than assembled from unrelated readings.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1423"/>
        <w:gridCol w:w="1607"/>
        <w:gridCol w:w="1642"/>
        <w:gridCol w:w="1629"/>
        <w:gridCol w:w="1639"/>
      </w:tblGrid>
      <w:tr w:rsidR="00D13254" w14:paraId="3017110E" w14:textId="77777777">
        <w:tc>
          <w:tcPr>
            <w:tcW w:w="2166" w:type="dxa"/>
            <w:shd w:val="clear" w:color="auto" w:fill="F7F7F7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C6633C2" w14:textId="77777777" w:rsidR="00D13254" w:rsidRDefault="00000000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B1E3A"/>
                <w:sz w:val="32"/>
                <w:szCs w:val="32"/>
              </w:rPr>
              <w:t>2</w:t>
            </w:r>
          </w:p>
          <w:p w14:paraId="57DC8898" w14:textId="77777777" w:rsidR="00D13254" w:rsidRDefault="00000000">
            <w:pPr>
              <w:jc w:val="center"/>
            </w:pPr>
            <w:r>
              <w:rPr>
                <w:color w:val="1B2A4A"/>
                <w:sz w:val="18"/>
                <w:szCs w:val="18"/>
              </w:rPr>
              <w:t>Parts</w:t>
            </w:r>
          </w:p>
        </w:tc>
        <w:tc>
          <w:tcPr>
            <w:tcW w:w="2166" w:type="dxa"/>
            <w:shd w:val="clear" w:color="auto" w:fill="F7F7F7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4271175F" w14:textId="77777777" w:rsidR="00D13254" w:rsidRDefault="00000000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B1E3A"/>
                <w:sz w:val="32"/>
                <w:szCs w:val="32"/>
              </w:rPr>
              <w:t>13</w:t>
            </w:r>
          </w:p>
          <w:p w14:paraId="079A5D6C" w14:textId="77777777" w:rsidR="00D13254" w:rsidRDefault="00000000">
            <w:pPr>
              <w:jc w:val="center"/>
            </w:pPr>
            <w:r>
              <w:rPr>
                <w:color w:val="1B2A4A"/>
                <w:sz w:val="18"/>
                <w:szCs w:val="18"/>
              </w:rPr>
              <w:t>Units</w:t>
            </w:r>
          </w:p>
        </w:tc>
        <w:tc>
          <w:tcPr>
            <w:tcW w:w="2166" w:type="dxa"/>
            <w:shd w:val="clear" w:color="auto" w:fill="F7F7F7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47FEBDC5" w14:textId="77777777" w:rsidR="00D13254" w:rsidRDefault="00000000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B1E3A"/>
                <w:sz w:val="32"/>
                <w:szCs w:val="32"/>
              </w:rPr>
              <w:t>7</w:t>
            </w:r>
          </w:p>
          <w:p w14:paraId="12C2F7A0" w14:textId="77777777" w:rsidR="00D13254" w:rsidRDefault="00000000">
            <w:pPr>
              <w:jc w:val="center"/>
            </w:pPr>
            <w:r>
              <w:rPr>
                <w:color w:val="1B2A4A"/>
                <w:sz w:val="18"/>
                <w:szCs w:val="18"/>
              </w:rPr>
              <w:t>Treatment Modules</w:t>
            </w:r>
          </w:p>
        </w:tc>
        <w:tc>
          <w:tcPr>
            <w:tcW w:w="2166" w:type="dxa"/>
            <w:shd w:val="clear" w:color="auto" w:fill="F7F7F7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CA26C6C" w14:textId="77777777" w:rsidR="00D13254" w:rsidRDefault="00000000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B1E3A"/>
                <w:sz w:val="32"/>
                <w:szCs w:val="32"/>
              </w:rPr>
              <w:t>5</w:t>
            </w:r>
          </w:p>
          <w:p w14:paraId="5E264705" w14:textId="77777777" w:rsidR="00D13254" w:rsidRDefault="00000000">
            <w:pPr>
              <w:jc w:val="center"/>
            </w:pPr>
            <w:r>
              <w:rPr>
                <w:color w:val="1B2A4A"/>
                <w:sz w:val="18"/>
                <w:szCs w:val="18"/>
              </w:rPr>
              <w:t>Appendices</w:t>
            </w:r>
          </w:p>
        </w:tc>
        <w:tc>
          <w:tcPr>
            <w:tcW w:w="2166" w:type="dxa"/>
            <w:shd w:val="clear" w:color="auto" w:fill="F7F7F7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D7F7835" w14:textId="77777777" w:rsidR="00D13254" w:rsidRDefault="00000000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B1E3A"/>
                <w:sz w:val="32"/>
                <w:szCs w:val="32"/>
              </w:rPr>
              <w:t>3</w:t>
            </w:r>
          </w:p>
          <w:p w14:paraId="1E3390F4" w14:textId="77777777" w:rsidR="00D13254" w:rsidRDefault="00000000">
            <w:pPr>
              <w:jc w:val="center"/>
            </w:pPr>
            <w:r>
              <w:rPr>
                <w:color w:val="1B2A4A"/>
                <w:sz w:val="18"/>
                <w:szCs w:val="18"/>
              </w:rPr>
              <w:t>Evidentiary Pillars</w:t>
            </w:r>
          </w:p>
        </w:tc>
        <w:tc>
          <w:tcPr>
            <w:tcW w:w="2166" w:type="dxa"/>
            <w:shd w:val="clear" w:color="auto" w:fill="F7F7F7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3B4C9252" w14:textId="77777777" w:rsidR="00D13254" w:rsidRDefault="00000000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B1E3A"/>
                <w:sz w:val="32"/>
                <w:szCs w:val="32"/>
              </w:rPr>
              <w:t>250+</w:t>
            </w:r>
          </w:p>
          <w:p w14:paraId="039617AE" w14:textId="77777777" w:rsidR="00D13254" w:rsidRDefault="00000000">
            <w:pPr>
              <w:jc w:val="center"/>
            </w:pPr>
            <w:r>
              <w:rPr>
                <w:color w:val="1B2A4A"/>
                <w:sz w:val="18"/>
                <w:szCs w:val="18"/>
              </w:rPr>
              <w:t>Pages</w:t>
            </w:r>
          </w:p>
        </w:tc>
      </w:tr>
    </w:tbl>
    <w:p w14:paraId="7FF60B51" w14:textId="77777777" w:rsidR="00D13254" w:rsidRDefault="00D13254">
      <w:pPr>
        <w:spacing w:after="70"/>
      </w:pP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00D4D71A" w14:textId="77777777">
        <w:tc>
          <w:tcPr>
            <w:tcW w:w="0" w:type="auto"/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D1D1C56" w14:textId="77777777" w:rsidR="00D1325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THE GAP THIS BOOK FILLS</w:t>
            </w:r>
          </w:p>
        </w:tc>
      </w:tr>
    </w:tbl>
    <w:p w14:paraId="004CBB58" w14:textId="77777777" w:rsidR="00D13254" w:rsidRPr="00AB2EF2" w:rsidRDefault="00D13254">
      <w:pPr>
        <w:spacing w:after="90"/>
        <w:rPr>
          <w:rFonts w:ascii="Times New Roman" w:hAnsi="Times New Roman" w:cs="Times New Roman"/>
        </w:rPr>
      </w:pPr>
    </w:p>
    <w:p w14:paraId="1ABBC99B" w14:textId="77777777" w:rsidR="00D13254" w:rsidRPr="00AB2EF2" w:rsidRDefault="00000000">
      <w:pPr>
        <w:spacing w:after="130" w:line="258" w:lineRule="auto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</w:rPr>
        <w:t xml:space="preserve">Programs training Christian counselors and pastoral caregivers face a persistent curricular problem: secular clinical </w:t>
      </w:r>
      <w:proofErr w:type="spellStart"/>
      <w:r w:rsidRPr="00AB2EF2">
        <w:rPr>
          <w:rFonts w:ascii="Times New Roman" w:hAnsi="Times New Roman" w:cs="Times New Roman"/>
        </w:rPr>
        <w:t>texts</w:t>
      </w:r>
      <w:proofErr w:type="spellEnd"/>
      <w:r w:rsidRPr="00AB2EF2">
        <w:rPr>
          <w:rFonts w:ascii="Times New Roman" w:hAnsi="Times New Roman" w:cs="Times New Roman"/>
        </w:rPr>
        <w:t xml:space="preserve"> are rigorous but leave a student's faith-integration skills untaught, while explicitly Christian materials are often devotionally rich but clinically thin — offering inspiration without a teachable session structure, staging framework, or technique sequence an instructor can actually build a syllabus around.</w:t>
      </w:r>
    </w:p>
    <w:p w14:paraId="31320BD9" w14:textId="720E1C6E" w:rsidR="00D13254" w:rsidRPr="00AB2EF2" w:rsidRDefault="00000000">
      <w:pPr>
        <w:spacing w:after="160" w:line="258" w:lineRule="auto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</w:rPr>
        <w:t>CIT</w:t>
      </w:r>
      <w:r w:rsidR="00AB2EF2" w:rsidRPr="00AB2EF2">
        <w:rPr>
          <w:rFonts w:ascii="Times New Roman" w:hAnsi="Times New Roman" w:cs="Times New Roman"/>
        </w:rPr>
        <w:t>™</w:t>
      </w:r>
      <w:r w:rsidRPr="00AB2EF2">
        <w:rPr>
          <w:rFonts w:ascii="Times New Roman" w:hAnsi="Times New Roman" w:cs="Times New Roman"/>
        </w:rPr>
        <w:t xml:space="preserve"> was built to close that gap at the level of theory, not just content. It integrates Pauline theology, empirically supported psychotherapeutic </w:t>
      </w:r>
      <w:r w:rsidR="00AB2EF2" w:rsidRPr="00AB2EF2">
        <w:rPr>
          <w:rFonts w:ascii="Times New Roman" w:hAnsi="Times New Roman" w:cs="Times New Roman"/>
        </w:rPr>
        <w:t>techniques, and cognitive-affective neuroscience into a single, sequenced clinical model — giving programs a coherent textbook where they previously had</w:t>
      </w:r>
      <w:r w:rsidRPr="00AB2EF2">
        <w:rPr>
          <w:rFonts w:ascii="Times New Roman" w:hAnsi="Times New Roman" w:cs="Times New Roman"/>
        </w:rPr>
        <w:t xml:space="preserve"> to stitch together a theology reader, a secular technique manual, and an ethics supplement.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7B3F20D6" w14:textId="77777777">
        <w:tc>
          <w:tcPr>
            <w:tcW w:w="0" w:type="auto"/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7FD4B50" w14:textId="2265A398" w:rsidR="00D1325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WHY PROGRAM DIRECTORS ARE ADOPTING CIT</w:t>
            </w:r>
            <w:r w:rsidR="00AB2EF2"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™</w:t>
            </w:r>
          </w:p>
        </w:tc>
      </w:tr>
    </w:tbl>
    <w:p w14:paraId="3FDBBDB5" w14:textId="77777777" w:rsidR="00D13254" w:rsidRDefault="00D13254">
      <w:pPr>
        <w:spacing w:after="90"/>
      </w:pPr>
    </w:p>
    <w:tbl>
      <w:tblPr>
        <w:tblW w:w="9360" w:type="dxa"/>
        <w:tblBorders>
          <w:top w:val="single" w:sz="6" w:space="0" w:color="1B2A4A"/>
          <w:left w:val="single" w:sz="6" w:space="0" w:color="1B2A4A"/>
          <w:bottom w:val="single" w:sz="6" w:space="0" w:color="1B2A4A"/>
          <w:right w:val="single" w:sz="6" w:space="0" w:color="1B2A4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40BFF550" w14:textId="77777777">
        <w:tc>
          <w:tcPr>
            <w:tcW w:w="0" w:type="auto"/>
            <w:shd w:val="clear" w:color="auto" w:fill="EEF2F8"/>
            <w:tcMar>
              <w:top w:w="110" w:type="dxa"/>
              <w:left w:w="220" w:type="dxa"/>
              <w:bottom w:w="110" w:type="dxa"/>
              <w:right w:w="220" w:type="dxa"/>
            </w:tcMar>
          </w:tcPr>
          <w:p w14:paraId="6C09AE48" w14:textId="77777777" w:rsidR="00D13254" w:rsidRDefault="00000000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olor w:val="1B2A4A"/>
              </w:rPr>
              <w:t>A Complete, Sequenced Course — Not a Reader</w:t>
            </w:r>
          </w:p>
          <w:p w14:paraId="4A6FDEB7" w14:textId="77777777" w:rsidR="00D13254" w:rsidRPr="00AB2EF2" w:rsidRDefault="00000000">
            <w:pPr>
              <w:spacing w:line="258" w:lineRule="auto"/>
              <w:rPr>
                <w:rFonts w:ascii="Times New Roman" w:hAnsi="Times New Roman" w:cs="Times New Roman"/>
              </w:rPr>
            </w:pPr>
            <w:r w:rsidRPr="00AB2EF2">
              <w:rPr>
                <w:rFonts w:ascii="Times New Roman" w:hAnsi="Times New Roman" w:cs="Times New Roman"/>
                <w:sz w:val="21"/>
                <w:szCs w:val="21"/>
              </w:rPr>
              <w:t>Thirteen units move students from theoretical foundations through a seven-module treatment structure to a capstone case and a full unit on scope of practice and ethics — mapping directly onto a semester or two-course sequence without an instructor needing to build structure from scratch.</w:t>
            </w:r>
          </w:p>
        </w:tc>
      </w:tr>
    </w:tbl>
    <w:p w14:paraId="1F32C7F2" w14:textId="77777777" w:rsidR="00D13254" w:rsidRDefault="00D13254">
      <w:pPr>
        <w:spacing w:after="70"/>
      </w:pPr>
    </w:p>
    <w:tbl>
      <w:tblPr>
        <w:tblW w:w="9360" w:type="dxa"/>
        <w:tblBorders>
          <w:top w:val="single" w:sz="6" w:space="0" w:color="B08D57"/>
          <w:left w:val="single" w:sz="6" w:space="0" w:color="B08D57"/>
          <w:bottom w:val="single" w:sz="6" w:space="0" w:color="B08D57"/>
          <w:right w:val="single" w:sz="6" w:space="0" w:color="B08D57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33BE2FEC" w14:textId="77777777">
        <w:tc>
          <w:tcPr>
            <w:tcW w:w="0" w:type="auto"/>
            <w:shd w:val="clear" w:color="auto" w:fill="FBF6EC"/>
            <w:tcMar>
              <w:top w:w="110" w:type="dxa"/>
              <w:left w:w="220" w:type="dxa"/>
              <w:bottom w:w="110" w:type="dxa"/>
              <w:right w:w="220" w:type="dxa"/>
            </w:tcMar>
          </w:tcPr>
          <w:p w14:paraId="7A2D4622" w14:textId="77777777" w:rsidR="00D13254" w:rsidRDefault="00000000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olor w:val="1B2A4A"/>
              </w:rPr>
              <w:t>Built-In Rigor Instructors Can Trust</w:t>
            </w:r>
          </w:p>
          <w:p w14:paraId="35E88189" w14:textId="1071B5BD" w:rsidR="00D13254" w:rsidRPr="00AB2EF2" w:rsidRDefault="00000000">
            <w:pPr>
              <w:spacing w:line="258" w:lineRule="auto"/>
              <w:rPr>
                <w:rFonts w:ascii="Times New Roman" w:hAnsi="Times New Roman" w:cs="Times New Roman"/>
              </w:rPr>
            </w:pPr>
            <w:r w:rsidRPr="00AB2EF2">
              <w:rPr>
                <w:rFonts w:ascii="Times New Roman" w:hAnsi="Times New Roman" w:cs="Times New Roman"/>
                <w:sz w:val="21"/>
                <w:szCs w:val="21"/>
              </w:rPr>
              <w:t xml:space="preserve">Every unit is annotated against the APA Ethics Code (2017) and the ACA Code of Ethics (2014), with a full quick-reference standards table in Appendix C. Learning objectives, key-term call-outs, and a shared glossary </w:t>
            </w:r>
            <w:r w:rsidR="00AB2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provide programs with scaffolding for assessment and accreditation documentation</w:t>
            </w:r>
            <w:r w:rsidR="00AB2EF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14:paraId="224151B2" w14:textId="77777777" w:rsidR="00D13254" w:rsidRDefault="00D13254">
      <w:pPr>
        <w:spacing w:after="70"/>
      </w:pPr>
    </w:p>
    <w:tbl>
      <w:tblPr>
        <w:tblW w:w="9360" w:type="dxa"/>
        <w:tblBorders>
          <w:top w:val="single" w:sz="6" w:space="0" w:color="7B1E3A"/>
          <w:left w:val="single" w:sz="6" w:space="0" w:color="7B1E3A"/>
          <w:bottom w:val="single" w:sz="6" w:space="0" w:color="7B1E3A"/>
          <w:right w:val="single" w:sz="6" w:space="0" w:color="7B1E3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18314BBD" w14:textId="77777777">
        <w:tc>
          <w:tcPr>
            <w:tcW w:w="0" w:type="auto"/>
            <w:shd w:val="clear" w:color="auto" w:fill="EFF5EF"/>
            <w:tcMar>
              <w:top w:w="110" w:type="dxa"/>
              <w:left w:w="220" w:type="dxa"/>
              <w:bottom w:w="110" w:type="dxa"/>
              <w:right w:w="220" w:type="dxa"/>
            </w:tcMar>
          </w:tcPr>
          <w:p w14:paraId="3EE7CECA" w14:textId="77777777" w:rsidR="00D13254" w:rsidRDefault="00000000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olor w:val="1B2A4A"/>
              </w:rPr>
              <w:t>Pedagogy Built for the Classroom, Not Just the Clinic</w:t>
            </w:r>
          </w:p>
          <w:p w14:paraId="5DF4ECE7" w14:textId="3293C4E4" w:rsidR="00D13254" w:rsidRPr="00AB2EF2" w:rsidRDefault="00000000">
            <w:pPr>
              <w:spacing w:line="258" w:lineRule="auto"/>
              <w:rPr>
                <w:rFonts w:ascii="Times New Roman" w:hAnsi="Times New Roman" w:cs="Times New Roman"/>
              </w:rPr>
            </w:pPr>
            <w:r w:rsidRPr="00AB2EF2">
              <w:rPr>
                <w:rFonts w:ascii="Times New Roman" w:hAnsi="Times New Roman" w:cs="Times New Roman"/>
                <w:sz w:val="21"/>
                <w:szCs w:val="21"/>
              </w:rPr>
              <w:t>Every unit combines academic exposition with Stop and Think reflection questions, composite Case Scenario vignettes, Stop and Apply exercises that simulate supervision-level clinical reasoning, and explicit Cultural Considerations call-outs — giving instructors ready-made discussion prompts, homework, and exam material out of the box</w:t>
            </w:r>
            <w:r w:rsidR="00290AD3">
              <w:rPr>
                <w:rFonts w:ascii="Times New Roman" w:hAnsi="Times New Roman" w:cs="Times New Roman"/>
                <w:sz w:val="21"/>
                <w:szCs w:val="21"/>
              </w:rPr>
              <w:t xml:space="preserve"> as well as customizable</w:t>
            </w:r>
            <w:r w:rsidRPr="00AB2EF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14:paraId="363341C4" w14:textId="77777777" w:rsidR="00D13254" w:rsidRDefault="00D13254">
      <w:pPr>
        <w:spacing w:after="70"/>
      </w:pPr>
    </w:p>
    <w:p w14:paraId="5FA83837" w14:textId="77777777" w:rsidR="00AB2EF2" w:rsidRDefault="00AB2EF2">
      <w:pPr>
        <w:spacing w:after="70"/>
      </w:pPr>
    </w:p>
    <w:p w14:paraId="469C6E6D" w14:textId="77777777" w:rsidR="00B55B78" w:rsidRDefault="00B55B78">
      <w:pPr>
        <w:spacing w:after="70"/>
      </w:pPr>
    </w:p>
    <w:p w14:paraId="15D8F454" w14:textId="77777777" w:rsidR="00AB2EF2" w:rsidRDefault="00AB2EF2">
      <w:pPr>
        <w:spacing w:after="70"/>
      </w:pPr>
    </w:p>
    <w:p w14:paraId="27F6599A" w14:textId="77777777" w:rsidR="00AB2EF2" w:rsidRDefault="00AB2EF2">
      <w:pPr>
        <w:spacing w:after="70"/>
      </w:pPr>
    </w:p>
    <w:p w14:paraId="6EE69FF9" w14:textId="77777777" w:rsidR="00AB2EF2" w:rsidRDefault="00AB2EF2">
      <w:pPr>
        <w:spacing w:after="70"/>
      </w:pP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1FDD0F47" w14:textId="77777777">
        <w:tc>
          <w:tcPr>
            <w:tcW w:w="0" w:type="auto"/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76EC734" w14:textId="77777777" w:rsidR="00D1325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lastRenderedPageBreak/>
              <w:t>STRUCTURE AT A GLANCE</w:t>
            </w:r>
          </w:p>
        </w:tc>
      </w:tr>
    </w:tbl>
    <w:p w14:paraId="7E9FD428" w14:textId="77777777" w:rsidR="00D13254" w:rsidRDefault="00D13254">
      <w:pPr>
        <w:spacing w:after="90"/>
      </w:pPr>
    </w:p>
    <w:p w14:paraId="549AF9AB" w14:textId="2E60D3FC" w:rsidR="00D13254" w:rsidRPr="00AB2EF2" w:rsidRDefault="00000000">
      <w:pPr>
        <w:spacing w:after="130" w:line="258" w:lineRule="auto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1B2A4A"/>
        </w:rPr>
        <w:t>Part One — A Developmental History of CIT</w:t>
      </w:r>
      <w:r w:rsidR="00AB2EF2" w:rsidRPr="00AB2EF2">
        <w:rPr>
          <w:rFonts w:ascii="Times New Roman" w:hAnsi="Times New Roman" w:cs="Times New Roman"/>
          <w:b/>
          <w:bCs/>
          <w:color w:val="1B2A4A"/>
        </w:rPr>
        <w:t>™</w:t>
      </w:r>
      <w:r w:rsidR="00AB2EF2">
        <w:rPr>
          <w:rFonts w:ascii="Times New Roman" w:hAnsi="Times New Roman" w:cs="Times New Roman"/>
          <w:b/>
          <w:bCs/>
          <w:color w:val="1B2A4A"/>
        </w:rPr>
        <w:t xml:space="preserve">: </w:t>
      </w:r>
      <w:r w:rsidRPr="00AB2EF2">
        <w:rPr>
          <w:rFonts w:ascii="Times New Roman" w:hAnsi="Times New Roman" w:cs="Times New Roman"/>
        </w:rPr>
        <w:t>Foundational chapters establishing the research rationale, literature review, and Pauline-theological grounding for the orientation — suitable as stand-alone reading for a foundations or introduction-to-integration course.</w:t>
      </w:r>
    </w:p>
    <w:p w14:paraId="5868E7C4" w14:textId="3A4BA580" w:rsidR="00D13254" w:rsidRPr="00AB2EF2" w:rsidRDefault="00000000">
      <w:pPr>
        <w:spacing w:after="130" w:line="258" w:lineRule="auto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1B2A4A"/>
        </w:rPr>
        <w:t>Part Two — Clinical Workbook and Clinician Manual</w:t>
      </w:r>
      <w:r w:rsidR="00AB2EF2">
        <w:rPr>
          <w:rFonts w:ascii="Times New Roman" w:hAnsi="Times New Roman" w:cs="Times New Roman"/>
          <w:b/>
          <w:bCs/>
          <w:color w:val="1B2A4A"/>
        </w:rPr>
        <w:t xml:space="preserve">. </w:t>
      </w:r>
      <w:r w:rsidRPr="00AB2EF2">
        <w:rPr>
          <w:rFonts w:ascii="Times New Roman" w:hAnsi="Times New Roman" w:cs="Times New Roman"/>
        </w:rPr>
        <w:t>Units 1–13 carry students from theoretical architecture (Units 1–2) through the seven-module treatment structure (Units 5–11), an integrative capstone case (Unit 12), and a full unit on scope of practice, contraindications, and ethics (Unit 13).</w:t>
      </w:r>
    </w:p>
    <w:p w14:paraId="4B903174" w14:textId="5FB7D48C" w:rsidR="00D13254" w:rsidRPr="00AB2EF2" w:rsidRDefault="00000000">
      <w:pPr>
        <w:spacing w:after="160" w:line="258" w:lineRule="auto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1B2A4A"/>
        </w:rPr>
        <w:t>Five Appendices</w:t>
      </w:r>
      <w:r w:rsidR="00AB2EF2">
        <w:rPr>
          <w:rFonts w:ascii="Times New Roman" w:hAnsi="Times New Roman" w:cs="Times New Roman"/>
          <w:b/>
          <w:bCs/>
          <w:color w:val="1B2A4A"/>
        </w:rPr>
        <w:t>: A</w:t>
      </w:r>
      <w:r w:rsidRPr="00AB2EF2">
        <w:rPr>
          <w:rFonts w:ascii="Times New Roman" w:hAnsi="Times New Roman" w:cs="Times New Roman"/>
        </w:rPr>
        <w:t xml:space="preserve"> shared glossary, a quick-reference toolbox index, an APA/ACA ethical-standards table, a full reference list, and a curated recommended-reading list — ready-made for a program’s own resource library.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4B0E02F0" w14:textId="77777777">
        <w:tc>
          <w:tcPr>
            <w:tcW w:w="0" w:type="auto"/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5C61484" w14:textId="77777777" w:rsidR="00D1325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WHAT STUDENTS WILL BE ABLE TO DO</w:t>
            </w:r>
          </w:p>
        </w:tc>
      </w:tr>
    </w:tbl>
    <w:p w14:paraId="73939C1B" w14:textId="77777777" w:rsidR="00D13254" w:rsidRDefault="00D13254">
      <w:pPr>
        <w:spacing w:after="90"/>
      </w:pPr>
    </w:p>
    <w:p w14:paraId="00D8BFBC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Describe the three evidentiary pillars — theological, psychological, and neuroscientific — that constitute CIT™’s integrative architecture.</w:t>
      </w:r>
    </w:p>
    <w:p w14:paraId="16402F98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Differentiate CIT™’s core theoretical constructs from analogous constructs in secular orientations, including CBT, ACT, and interpersonal neurobiology.</w:t>
      </w:r>
    </w:p>
    <w:p w14:paraId="376E98B6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Explain the sequential logic of the seven-module treatment structure and the clinical focus of each module.</w:t>
      </w:r>
    </w:p>
    <w:p w14:paraId="28E54FD4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Apply specific CIT™ techniques to composite clinical vignettes and draft session-ready interventions.</w:t>
      </w:r>
    </w:p>
    <w:p w14:paraId="003441C0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Evaluate CIT™ using its own Four-Axis Validity Framework, articulating convergence and divergence with established orientations.</w:t>
      </w:r>
    </w:p>
    <w:p w14:paraId="6FCB0C08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Identify the ethical, scope-of-practice, and informed-consent considerations specific to faith-integrated treatment.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2D8F9FAC" w14:textId="77777777">
        <w:tc>
          <w:tcPr>
            <w:tcW w:w="0" w:type="auto"/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B999255" w14:textId="77777777" w:rsidR="00D1325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IDEAL FOR</w:t>
            </w:r>
          </w:p>
        </w:tc>
      </w:tr>
    </w:tbl>
    <w:p w14:paraId="79ED4653" w14:textId="77777777" w:rsidR="00D13254" w:rsidRDefault="00D13254">
      <w:pPr>
        <w:spacing w:after="90"/>
      </w:pPr>
    </w:p>
    <w:p w14:paraId="1EAFCAE0" w14:textId="65FAE741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="00C244E9">
        <w:rPr>
          <w:rFonts w:ascii="Times New Roman" w:hAnsi="Times New Roman" w:cs="Times New Roman"/>
        </w:rPr>
        <w:t>P</w:t>
      </w:r>
      <w:r w:rsidRPr="00AB2EF2">
        <w:rPr>
          <w:rFonts w:ascii="Times New Roman" w:hAnsi="Times New Roman" w:cs="Times New Roman"/>
        </w:rPr>
        <w:t xml:space="preserve">rograms in clinical or counseling psychology with a faith-integration track or elective </w:t>
      </w:r>
      <w:r w:rsidR="00C244E9">
        <w:rPr>
          <w:rFonts w:ascii="Times New Roman" w:hAnsi="Times New Roman" w:cs="Times New Roman"/>
        </w:rPr>
        <w:t>sequence and</w:t>
      </w:r>
      <w:r w:rsidR="00A92ABE">
        <w:rPr>
          <w:rFonts w:ascii="Times New Roman" w:hAnsi="Times New Roman" w:cs="Times New Roman"/>
        </w:rPr>
        <w:t xml:space="preserve"> undergraduate upper-level electives</w:t>
      </w:r>
    </w:p>
    <w:p w14:paraId="5906BC6E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Seminary and divinity school pastoral care, chaplaincy, and pastoral counseling programs</w:t>
      </w:r>
    </w:p>
    <w:p w14:paraId="7277A59E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Certificate and continuing-education programs in Christian or faith-integrated counseling</w:t>
      </w:r>
    </w:p>
    <w:p w14:paraId="7319A08C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Practicum and internship training seminars preparing students for faith-integrated clinical placements</w:t>
      </w:r>
    </w:p>
    <w:p w14:paraId="39310855" w14:textId="77777777" w:rsidR="00D13254" w:rsidRPr="00AB2EF2" w:rsidRDefault="00000000">
      <w:pPr>
        <w:spacing w:after="90" w:line="258" w:lineRule="auto"/>
        <w:ind w:left="260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7B1E3A"/>
        </w:rPr>
        <w:t xml:space="preserve">•  </w:t>
      </w:r>
      <w:r w:rsidRPr="00AB2EF2">
        <w:rPr>
          <w:rFonts w:ascii="Times New Roman" w:hAnsi="Times New Roman" w:cs="Times New Roman"/>
        </w:rPr>
        <w:t>CE/CEU providers serving licensed counselors, MFTs, and psychologists who work with Christian clients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4E8D13A4" w14:textId="77777777">
        <w:tc>
          <w:tcPr>
            <w:tcW w:w="0" w:type="auto"/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91966E4" w14:textId="77777777" w:rsidR="00D1325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ABOUT THE AUTHOR</w:t>
            </w:r>
          </w:p>
        </w:tc>
      </w:tr>
    </w:tbl>
    <w:p w14:paraId="15375A1D" w14:textId="77777777" w:rsidR="00D13254" w:rsidRPr="00AB2EF2" w:rsidRDefault="00D13254">
      <w:pPr>
        <w:spacing w:after="90"/>
        <w:rPr>
          <w:rFonts w:ascii="Times New Roman" w:hAnsi="Times New Roman" w:cs="Times New Roman"/>
        </w:rPr>
      </w:pPr>
    </w:p>
    <w:p w14:paraId="0788D4B8" w14:textId="1077BF36" w:rsidR="00D13254" w:rsidRPr="00AB2EF2" w:rsidRDefault="00000000">
      <w:pPr>
        <w:spacing w:after="160" w:line="258" w:lineRule="auto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</w:rPr>
        <w:t>Katherine L. Pang, PhD, PhD, JD, LLM, MDiv, ThM, MBA, is a licensed psychologist and the founder of The Christian Life Institute. She developed Christic Integrative Therapy</w:t>
      </w:r>
      <w:r w:rsidR="00590A2A">
        <w:rPr>
          <w:rFonts w:ascii="Times New Roman" w:hAnsi="Times New Roman" w:cs="Times New Roman"/>
        </w:rPr>
        <w:t xml:space="preserve"> (CIT)™</w:t>
      </w:r>
      <w:r w:rsidRPr="00AB2EF2">
        <w:rPr>
          <w:rFonts w:ascii="Times New Roman" w:hAnsi="Times New Roman" w:cs="Times New Roman"/>
        </w:rPr>
        <w:t xml:space="preserve"> from her doctoral research integrating Pauline theology, clinical psychology, and neuroscience, and is the author of the CIT</w:t>
      </w:r>
      <w:r w:rsidR="00AB2EF2" w:rsidRPr="00AB2EF2">
        <w:rPr>
          <w:rFonts w:ascii="Times New Roman" w:hAnsi="Times New Roman" w:cs="Times New Roman"/>
        </w:rPr>
        <w:t>™</w:t>
      </w:r>
      <w:r w:rsidRPr="00AB2EF2">
        <w:rPr>
          <w:rFonts w:ascii="Times New Roman" w:hAnsi="Times New Roman" w:cs="Times New Roman"/>
        </w:rPr>
        <w:t xml:space="preserve"> practitioner’s manual and its client-facing companion </w:t>
      </w:r>
      <w:r w:rsidR="00F13888">
        <w:rPr>
          <w:rFonts w:ascii="Times New Roman" w:hAnsi="Times New Roman" w:cs="Times New Roman"/>
        </w:rPr>
        <w:t>workbooks, Re-Frame: The Journey™ and Re-Frame: The Path™ Modules from Re-Frame, the Journey™</w:t>
      </w:r>
      <w:r w:rsidR="00590A2A">
        <w:rPr>
          <w:rFonts w:ascii="Times New Roman" w:hAnsi="Times New Roman" w:cs="Times New Roman"/>
        </w:rPr>
        <w:t>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3254" w14:paraId="0D0E491B" w14:textId="77777777">
        <w:tc>
          <w:tcPr>
            <w:tcW w:w="0" w:type="auto"/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554394" w14:textId="77777777" w:rsidR="00D13254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4"/>
                <w:szCs w:val="24"/>
              </w:rPr>
              <w:t>NEXT STEPS</w:t>
            </w:r>
          </w:p>
        </w:tc>
      </w:tr>
    </w:tbl>
    <w:p w14:paraId="78173718" w14:textId="77777777" w:rsidR="00D13254" w:rsidRPr="00AB2EF2" w:rsidRDefault="00D13254">
      <w:pPr>
        <w:spacing w:after="90"/>
        <w:rPr>
          <w:rFonts w:ascii="Times New Roman" w:hAnsi="Times New Roman" w:cs="Times New Roman"/>
        </w:rPr>
      </w:pPr>
    </w:p>
    <w:p w14:paraId="5C914295" w14:textId="69320395" w:rsidR="00D13254" w:rsidRPr="00AB2EF2" w:rsidRDefault="00000000">
      <w:pPr>
        <w:spacing w:after="130" w:line="258" w:lineRule="auto"/>
        <w:rPr>
          <w:rFonts w:ascii="Times New Roman" w:hAnsi="Times New Roman" w:cs="Times New Roman"/>
        </w:rPr>
      </w:pPr>
      <w:r w:rsidRPr="00AB2EF2">
        <w:rPr>
          <w:rFonts w:ascii="Times New Roman" w:hAnsi="Times New Roman" w:cs="Times New Roman"/>
          <w:b/>
          <w:bCs/>
          <w:color w:val="1B2A4A"/>
        </w:rPr>
        <w:t xml:space="preserve">Contact: </w:t>
      </w:r>
      <w:r w:rsidR="00F13888">
        <w:rPr>
          <w:rFonts w:ascii="Times New Roman" w:hAnsi="Times New Roman" w:cs="Times New Roman"/>
          <w:color w:val="1B2A4A"/>
        </w:rPr>
        <w:t xml:space="preserve">Dr. </w:t>
      </w:r>
      <w:r w:rsidRPr="00AB2EF2">
        <w:rPr>
          <w:rFonts w:ascii="Times New Roman" w:hAnsi="Times New Roman" w:cs="Times New Roman"/>
        </w:rPr>
        <w:t>Katherine L. Pang — kpang@</w:t>
      </w:r>
      <w:r w:rsidR="00AB2EF2" w:rsidRPr="00AB2EF2">
        <w:rPr>
          <w:rFonts w:ascii="Times New Roman" w:hAnsi="Times New Roman" w:cs="Times New Roman"/>
        </w:rPr>
        <w:t>edway.com</w:t>
      </w:r>
      <w:r w:rsidRPr="00AB2EF2">
        <w:rPr>
          <w:rFonts w:ascii="Times New Roman" w:hAnsi="Times New Roman" w:cs="Times New Roman"/>
        </w:rPr>
        <w:t xml:space="preserve"> </w:t>
      </w:r>
    </w:p>
    <w:sectPr w:rsidR="00D13254" w:rsidRPr="00AB2EF2" w:rsidSect="00AB2EF2">
      <w:pgSz w:w="12240" w:h="15840"/>
      <w:pgMar w:top="620" w:right="1350" w:bottom="270" w:left="13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5AF9"/>
    <w:multiLevelType w:val="hybridMultilevel"/>
    <w:tmpl w:val="A40860E8"/>
    <w:lvl w:ilvl="0" w:tplc="125EE3C6">
      <w:start w:val="1"/>
      <w:numFmt w:val="bullet"/>
      <w:lvlText w:val="●"/>
      <w:lvlJc w:val="left"/>
      <w:pPr>
        <w:ind w:left="720" w:hanging="360"/>
      </w:pPr>
    </w:lvl>
    <w:lvl w:ilvl="1" w:tplc="AB961728">
      <w:start w:val="1"/>
      <w:numFmt w:val="bullet"/>
      <w:lvlText w:val="○"/>
      <w:lvlJc w:val="left"/>
      <w:pPr>
        <w:ind w:left="1440" w:hanging="360"/>
      </w:pPr>
    </w:lvl>
    <w:lvl w:ilvl="2" w:tplc="AF2490E8">
      <w:start w:val="1"/>
      <w:numFmt w:val="bullet"/>
      <w:lvlText w:val="■"/>
      <w:lvlJc w:val="left"/>
      <w:pPr>
        <w:ind w:left="2160" w:hanging="360"/>
      </w:pPr>
    </w:lvl>
    <w:lvl w:ilvl="3" w:tplc="76B47DB8">
      <w:start w:val="1"/>
      <w:numFmt w:val="bullet"/>
      <w:lvlText w:val="●"/>
      <w:lvlJc w:val="left"/>
      <w:pPr>
        <w:ind w:left="2880" w:hanging="360"/>
      </w:pPr>
    </w:lvl>
    <w:lvl w:ilvl="4" w:tplc="9CB68B0E">
      <w:start w:val="1"/>
      <w:numFmt w:val="bullet"/>
      <w:lvlText w:val="○"/>
      <w:lvlJc w:val="left"/>
      <w:pPr>
        <w:ind w:left="3600" w:hanging="360"/>
      </w:pPr>
    </w:lvl>
    <w:lvl w:ilvl="5" w:tplc="F954CDAA">
      <w:start w:val="1"/>
      <w:numFmt w:val="bullet"/>
      <w:lvlText w:val="■"/>
      <w:lvlJc w:val="left"/>
      <w:pPr>
        <w:ind w:left="4320" w:hanging="360"/>
      </w:pPr>
    </w:lvl>
    <w:lvl w:ilvl="6" w:tplc="6D3AEA46">
      <w:start w:val="1"/>
      <w:numFmt w:val="bullet"/>
      <w:lvlText w:val="●"/>
      <w:lvlJc w:val="left"/>
      <w:pPr>
        <w:ind w:left="5040" w:hanging="360"/>
      </w:pPr>
    </w:lvl>
    <w:lvl w:ilvl="7" w:tplc="0564390C">
      <w:start w:val="1"/>
      <w:numFmt w:val="bullet"/>
      <w:lvlText w:val="●"/>
      <w:lvlJc w:val="left"/>
      <w:pPr>
        <w:ind w:left="5760" w:hanging="360"/>
      </w:pPr>
    </w:lvl>
    <w:lvl w:ilvl="8" w:tplc="06B23CD8">
      <w:start w:val="1"/>
      <w:numFmt w:val="bullet"/>
      <w:lvlText w:val="●"/>
      <w:lvlJc w:val="left"/>
      <w:pPr>
        <w:ind w:left="6480" w:hanging="360"/>
      </w:pPr>
    </w:lvl>
  </w:abstractNum>
  <w:num w:numId="1" w16cid:durableId="18158306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254"/>
    <w:rsid w:val="00267E75"/>
    <w:rsid w:val="00290AD3"/>
    <w:rsid w:val="003F22EB"/>
    <w:rsid w:val="004D49C3"/>
    <w:rsid w:val="00590A2A"/>
    <w:rsid w:val="005F4689"/>
    <w:rsid w:val="00734344"/>
    <w:rsid w:val="008F7B27"/>
    <w:rsid w:val="00A6081D"/>
    <w:rsid w:val="00A92ABE"/>
    <w:rsid w:val="00AB2EF2"/>
    <w:rsid w:val="00B55B78"/>
    <w:rsid w:val="00C244E9"/>
    <w:rsid w:val="00D13254"/>
    <w:rsid w:val="00F13888"/>
    <w:rsid w:val="00F8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6D239"/>
  <w15:docId w15:val="{2377E559-0E8E-4A78-9732-505E1884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Christic Integrative Therapy — Academic Adoption Overview</dc:title>
  <dc:creator>Katherine L. Pang</dc:creator>
  <cp:lastModifiedBy>Katherine Pang</cp:lastModifiedBy>
  <cp:revision>2</cp:revision>
  <cp:lastPrinted>2026-09-07T23:58:00Z</cp:lastPrinted>
  <dcterms:created xsi:type="dcterms:W3CDTF">2026-09-12T16:23:00Z</dcterms:created>
  <dcterms:modified xsi:type="dcterms:W3CDTF">2026-09-12T16:23:00Z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a988ed6a-dd69-4b99-9040-afbcf15d812a</vt:lpwstr>
  </property>
</Properties>
</file>